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DUEÑOS DE COLEGIOS PARTICULARES SUBVENCIONADOS EN CONTRA DE LAS FAMILIAS Y EL DERECHO A LA EDUCACIÓN </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both"/>
        <w:rPr>
          <w:color w:val="ff0000"/>
        </w:rPr>
      </w:pPr>
      <w:r w:rsidDel="00000000" w:rsidR="00000000" w:rsidRPr="00000000">
        <w:rPr>
          <w:rtl w:val="0"/>
        </w:rPr>
        <w:t xml:space="preserve">El día 28 de agosto El Mercurio publicó en su portada lo que tituló la “alerta” de los Colegios Particulares Subvencionados en contra del Dictamen N° 75 emitido el 21 de julio de este año por la Superintendencia de Educación. El debate consiste en si un colegio particular subvencionado puede o no cancelar la matrícula a un estudiante que por motivos socioeconómicos. </w:t>
      </w: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highlight w:val="white"/>
        </w:rPr>
      </w:pPr>
      <w:bookmarkStart w:colFirst="0" w:colLast="0" w:name="_5e0qiigkwily" w:id="0"/>
      <w:bookmarkEnd w:id="0"/>
      <w:r w:rsidDel="00000000" w:rsidR="00000000" w:rsidRPr="00000000">
        <w:rPr>
          <w:rtl w:val="0"/>
        </w:rPr>
        <w:t xml:space="preserve">Se debe señalar que la Ley General de Educación en su artículo 11 afirma que </w:t>
      </w:r>
      <w:r w:rsidDel="00000000" w:rsidR="00000000" w:rsidRPr="00000000">
        <w:rPr>
          <w:highlight w:val="white"/>
          <w:rtl w:val="0"/>
        </w:rPr>
        <w:t xml:space="preserve">“</w:t>
      </w:r>
      <w:r w:rsidDel="00000000" w:rsidR="00000000" w:rsidRPr="00000000">
        <w:rPr>
          <w:i w:val="1"/>
          <w:highlight w:val="white"/>
          <w:rtl w:val="0"/>
        </w:rPr>
        <w:t xml:space="preserve">durante la vigencia del respectivo año escolar” “no se podrá cancelar la matrícula, ni suspender o expulsar alumnos por causales que se deriven del no pago de obligaciones contraídas por los padres”. Esta n</w:t>
      </w:r>
      <w:r w:rsidDel="00000000" w:rsidR="00000000" w:rsidRPr="00000000">
        <w:rPr>
          <w:highlight w:val="white"/>
          <w:rtl w:val="0"/>
        </w:rPr>
        <w:t xml:space="preserve">orma se aplica para todo tipo de establecimientos, pagados o que reciben subvención estatal (particular subvencionado o público). </w:t>
      </w:r>
    </w:p>
    <w:p w:rsidR="00000000" w:rsidDel="00000000" w:rsidP="00000000" w:rsidRDefault="00000000" w:rsidRPr="00000000" w14:paraId="00000006">
      <w:pPr>
        <w:jc w:val="both"/>
        <w:rPr>
          <w:highlight w:val="white"/>
        </w:rPr>
      </w:pPr>
      <w:r w:rsidDel="00000000" w:rsidR="00000000" w:rsidRPr="00000000">
        <w:rPr>
          <w:rtl w:val="0"/>
        </w:rPr>
      </w:r>
    </w:p>
    <w:p w:rsidR="00000000" w:rsidDel="00000000" w:rsidP="00000000" w:rsidRDefault="00000000" w:rsidRPr="00000000" w14:paraId="00000007">
      <w:pPr>
        <w:jc w:val="both"/>
        <w:rPr>
          <w:highlight w:val="white"/>
        </w:rPr>
      </w:pPr>
      <w:r w:rsidDel="00000000" w:rsidR="00000000" w:rsidRPr="00000000">
        <w:rPr>
          <w:highlight w:val="white"/>
          <w:rtl w:val="0"/>
        </w:rPr>
        <w:t xml:space="preserve">En la práctica, este artículo se ha traducido en que la cancelación de matrícula por el no pago de mensualidades, se aplique para el año siguiente. </w:t>
      </w:r>
    </w:p>
    <w:p w:rsidR="00000000" w:rsidDel="00000000" w:rsidP="00000000" w:rsidRDefault="00000000" w:rsidRPr="00000000" w14:paraId="00000008">
      <w:pPr>
        <w:jc w:val="both"/>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Sin embargo, el artículo 6 de la Ley de Subvención Escolar, establece que, con respecto a los colegios que reciben subvención del pública del Estado (particulares subvencionados y público municipales/Slep) y que además, cobran a las familias co-pagos, (cobro que solo aplican los particulares subvencionados) </w:t>
      </w:r>
      <w:r w:rsidDel="00000000" w:rsidR="00000000" w:rsidRPr="00000000">
        <w:rPr>
          <w:i w:val="1"/>
          <w:highlight w:val="white"/>
          <w:rtl w:val="0"/>
        </w:rPr>
        <w:t xml:space="preserve">“no podrán cancelar la matrícula, expulsar o suspender a sus estudiantes por causales que se deriven de su situación socioeconómica”.</w:t>
      </w:r>
      <w:r w:rsidDel="00000000" w:rsidR="00000000" w:rsidRPr="00000000">
        <w:rPr>
          <w:highlight w:val="white"/>
          <w:rtl w:val="0"/>
        </w:rPr>
        <w:t xml:space="preserve"> La razón de esta norma, ciertamente radica en la no discriminación arbitraria hacia las y los estudiantes, puesto que se debe resguardar su derecho a la educación. </w:t>
      </w: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r>
    </w:p>
    <w:p w:rsidR="00000000" w:rsidDel="00000000" w:rsidP="00000000" w:rsidRDefault="00000000" w:rsidRPr="00000000" w14:paraId="0000000B">
      <w:pPr>
        <w:jc w:val="both"/>
        <w:rPr/>
      </w:pPr>
      <w:r w:rsidDel="00000000" w:rsidR="00000000" w:rsidRPr="00000000">
        <w:rPr>
          <w:rtl w:val="0"/>
        </w:rPr>
        <w:t xml:space="preserve">Existen amplios pronunciamientos de los Tribunales de Justicia que han obligado a los colegios particulares subvencionados a reintegrar estudiantes cuyas matrículas habían sido canceladas por situaciones socioeconómicas, cuestión que no atenta contra el derecho del colegio a realizar acciones civiles para el cobro, pero ello no puede erosionar el derecho a la educación del niño/a. </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Pues bien, el Dictamen 75, no realiza innovación en esta materia. Indica que un colegio particular subvencionado, antes de proceder a no renovar la matrícula de un estudiante, debe verificar si existen razones socioeconómicas que fundamenten el no pago de la mensualidad. De ser ese el caso, no procede la aplicación de la sanción. Por cierto, estas razones pueden ser situaciones de cesantía del padre, madre o cuidador, no pago de pensiones alimenticias, etc. </w:t>
      </w:r>
    </w:p>
    <w:p w:rsidR="00000000" w:rsidDel="00000000" w:rsidP="00000000" w:rsidRDefault="00000000" w:rsidRPr="00000000" w14:paraId="0000000E">
      <w:pPr>
        <w:jc w:val="both"/>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t xml:space="preserve">Para quienes nos situamos en la concepción de la educación como derecho social y el interés superior del niño/a, la circular 75 nos parece del todo razonable y coherente con la normativa internacional sobre derecho a la educación. El Estado nunca deja de entregar el financiamiento al colegio particular subvencionado para, precisamente, garantizar el derecho a la educación. La libertad de enseñanza, económica, como actualmente se entiende, no puede situarse por sobre el derecho a la educación. </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¿Por qué el país debería aceptar este tipo de sanciones a las familias chilenas si el Estado financia estas escuelas? ¿Por qué debiese aceptarse esta discriminación en este tipo de educación, cuestión que no ocurre en la educación pública?  </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Sostener que, por esta razón, las escuelas particulares subvencionadas ven lesionado su proyecto, se aleja de la evidencia que indica que este tipo de colegios, en muchos casos, sigue lucrando con la educación. Por ejemplo, la mal llamada Ley de Inclusión y Fin al Lucro, en el artículo 3, inciso 2, numeral i, de la ley 20.845, establece que los dueños de estos colegios pueden fijarse a sí mismos un (auto)sueldo, hasta el momento, sin limitación alguna. ¿Qué dicen los datos disponibles sobre esto? Según el ORD N° 0682 de la Superintendencia, que responde a una solicitud de Transparencia sobre el monto de los veinte mayores sueldos a nivel nacional auto asignados por los dueños de establecimientos particulares subvencionados durante el año 2021, se establece que: el 92% obtuvo sueldos que, en por lo menos un mes, ha superó los 10 millones de pesos. El 26% obtuvo sueldos que, en por lo menos un mes, superaron los 20 millones mensuales. Y el 2% obtuvo sueldos que, en por lo menos un mes, superó los 30 millones mensuales. </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spacing w:after="160" w:line="259" w:lineRule="auto"/>
        <w:jc w:val="both"/>
        <w:rPr/>
      </w:pPr>
      <w:r w:rsidDel="00000000" w:rsidR="00000000" w:rsidRPr="00000000">
        <w:rPr>
          <w:rtl w:val="0"/>
        </w:rPr>
        <w:t xml:space="preserve">Además, el 67% de los casos analizados recibió sueldos por sobre los 200 millones de pesos anuales, mientras que el 33% obtuvo entre 170 y 200 millones. Ninguno obtuvo sueldos anuales inferiores a los 150 millones. </w:t>
      </w:r>
    </w:p>
    <w:p w:rsidR="00000000" w:rsidDel="00000000" w:rsidP="00000000" w:rsidRDefault="00000000" w:rsidRPr="00000000" w14:paraId="00000016">
      <w:pPr>
        <w:spacing w:after="160" w:line="259" w:lineRule="auto"/>
        <w:jc w:val="both"/>
        <w:rPr/>
      </w:pPr>
      <w:r w:rsidDel="00000000" w:rsidR="00000000" w:rsidRPr="00000000">
        <w:rPr>
          <w:rtl w:val="0"/>
        </w:rPr>
        <w:t xml:space="preserve">La obligación legal de regular esta inaudita situación es precisamente de la Superintendencia de la Educación. A la fecha, no se ha visto una portada de El Mercurio poniendo en “alerta” al país sobre esta situación. Un proyecto de ley que impulsamos como organizaciones sobre este tema quedó archivado. </w:t>
      </w:r>
    </w:p>
    <w:p w:rsidR="00000000" w:rsidDel="00000000" w:rsidP="00000000" w:rsidRDefault="00000000" w:rsidRPr="00000000" w14:paraId="00000017">
      <w:pPr>
        <w:jc w:val="both"/>
        <w:rPr/>
      </w:pPr>
      <w:r w:rsidDel="00000000" w:rsidR="00000000" w:rsidRPr="00000000">
        <w:rPr>
          <w:rtl w:val="0"/>
        </w:rPr>
        <w:t xml:space="preserve">Con estos datos, es difícil admitir que la circular 75, que resguarda el derecho a la educación de las y los niños  y de sus familias, lesione el proyecto educativo de un colegio particular subvencionado como señaló Haral Beyer en el reportaje de El Mercurio.  El no pago de una mensualidad por situaciones socioeconómicas de una familia, nunca puede ser motivo para cancelar una matrícula y acceder a la educación. </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FEDERACIÓN NACIONAL DE TRABAJADORES DE LA EDUCACIÓN (FENATED)</w:t>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t xml:space="preserve">FEDERACIÓN DE COLEGIOS PARTICULARES PAGADOS (FESICOP) </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FEDERACIÓN SINDICATOS DE LA EDUCACIÓN (FESITED) </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DEPARTAMENTO PARTICULAR SUBVENCIONADO REGIONAL METROPOLITANO COLEGIO DE PROFESORES/AS DE CHILE </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t xml:space="preserve">MOVIMIENTO POR LA UNIDAD DOCENTE (MUD)</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